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00" w:rsidRDefault="00FF030F" w:rsidP="008F3D00">
      <w:pPr>
        <w:jc w:val="center"/>
        <w:rPr>
          <w:b/>
          <w:bCs/>
          <w:sz w:val="28"/>
          <w:szCs w:val="28"/>
          <w:u w:val="single"/>
        </w:rPr>
      </w:pPr>
      <w:r w:rsidRPr="008F3D00">
        <w:rPr>
          <w:b/>
          <w:bCs/>
          <w:sz w:val="28"/>
          <w:szCs w:val="28"/>
          <w:u w:val="single"/>
        </w:rPr>
        <w:t xml:space="preserve">Competency Exploration for Development </w:t>
      </w:r>
      <w:proofErr w:type="gramStart"/>
      <w:r w:rsidRPr="008F3D00">
        <w:rPr>
          <w:b/>
          <w:bCs/>
          <w:sz w:val="28"/>
          <w:szCs w:val="28"/>
          <w:u w:val="single"/>
        </w:rPr>
        <w:t>And</w:t>
      </w:r>
      <w:proofErr w:type="gramEnd"/>
      <w:r w:rsidRPr="008F3D00">
        <w:rPr>
          <w:b/>
          <w:bCs/>
          <w:sz w:val="28"/>
          <w:szCs w:val="28"/>
          <w:u w:val="single"/>
        </w:rPr>
        <w:t xml:space="preserve"> Readiness (CEDAR) </w:t>
      </w:r>
    </w:p>
    <w:p w:rsidR="00FF030F" w:rsidRPr="008F3D00" w:rsidRDefault="00FF030F" w:rsidP="008F3D00">
      <w:pPr>
        <w:jc w:val="center"/>
        <w:rPr>
          <w:b/>
          <w:bCs/>
          <w:sz w:val="28"/>
          <w:szCs w:val="28"/>
          <w:u w:val="single"/>
        </w:rPr>
      </w:pPr>
      <w:r w:rsidRPr="008F3D00">
        <w:rPr>
          <w:b/>
          <w:bCs/>
          <w:sz w:val="28"/>
          <w:szCs w:val="28"/>
          <w:u w:val="single"/>
        </w:rPr>
        <w:t>Competency Assessment Tool</w:t>
      </w:r>
    </w:p>
    <w:p w:rsidR="00FF030F" w:rsidRDefault="00FF030F" w:rsidP="00230B5A"/>
    <w:p w:rsidR="00FF030F" w:rsidRDefault="00FF030F" w:rsidP="00230B5A">
      <w:r>
        <w:t xml:space="preserve">CEDAR is a dual-rater online competency assessment tool that uses supervisor and employee input to provide results that are employee-specific but can be aggregated up to component or agency levels for comprehensive analyses. It is intended </w:t>
      </w:r>
      <w:r w:rsidRPr="00FF030F">
        <w:t>to inform individual and organizational strategies to address skill gaps and support employee development, and it will not be used for employee performance ratings or hiring/promotion.</w:t>
      </w:r>
    </w:p>
    <w:p w:rsidR="00FF030F" w:rsidRDefault="00FF030F" w:rsidP="00230B5A">
      <w:r>
        <w:t>CEDAR uses OPM-</w:t>
      </w:r>
      <w:r w:rsidR="008F3D00">
        <w:t>approved competencies, competency models, and proficiency level rating options. There are no survey questions for either supervisors or employees to answer.</w:t>
      </w:r>
    </w:p>
    <w:p w:rsidR="00FF030F" w:rsidRDefault="00FF030F" w:rsidP="00230B5A"/>
    <w:p w:rsidR="00230B5A" w:rsidRPr="00FC600B" w:rsidRDefault="00230B5A" w:rsidP="00230B5A">
      <w:pPr>
        <w:rPr>
          <w:u w:val="single"/>
        </w:rPr>
      </w:pPr>
      <w:r w:rsidRPr="00FC600B">
        <w:rPr>
          <w:u w:val="single"/>
        </w:rPr>
        <w:t>Competencies in the PMIAA Program Manager and Project Manager Competency Models</w:t>
      </w:r>
    </w:p>
    <w:p w:rsidR="00230B5A" w:rsidRPr="00230B5A" w:rsidRDefault="00230B5A" w:rsidP="00230B5A">
      <w:pPr>
        <w:rPr>
          <w:i/>
          <w:iCs/>
        </w:rPr>
      </w:pPr>
      <w:r w:rsidRPr="00230B5A">
        <w:rPr>
          <w:i/>
          <w:iCs/>
        </w:rPr>
        <w:t>Note: Not all competencies will be in all competency models</w:t>
      </w:r>
    </w:p>
    <w:p w:rsidR="00230B5A" w:rsidRDefault="00230B5A" w:rsidP="00230B5A">
      <w:r>
        <w:t xml:space="preserve">Information about competencies, including definitions, can be found </w:t>
      </w:r>
      <w:hyperlink r:id="rId10" w:history="1">
        <w:r w:rsidR="00F1493D" w:rsidRPr="00F1493D">
          <w:rPr>
            <w:rStyle w:val="Hyperlink"/>
          </w:rPr>
          <w:t>on OPM’s website</w:t>
        </w:r>
      </w:hyperlink>
      <w:r w:rsidR="00F342F3">
        <w:t xml:space="preserve"> (linked)</w:t>
      </w:r>
      <w:r w:rsidR="00F1493D">
        <w:t>.</w:t>
      </w:r>
    </w:p>
    <w:p w:rsidR="00F342F3" w:rsidRDefault="00F342F3" w:rsidP="00230B5A"/>
    <w:p w:rsidR="00230B5A" w:rsidRDefault="00230B5A" w:rsidP="00230B5A"/>
    <w:p w:rsidR="00F1493D" w:rsidRDefault="00F1493D" w:rsidP="00230B5A">
      <w:pPr>
        <w:rPr>
          <w:b/>
          <w:bCs/>
          <w:u w:val="single"/>
        </w:rPr>
        <w:sectPr w:rsidR="00F1493D" w:rsidSect="008F3D00">
          <w:footerReference w:type="first" r:id="rId11"/>
          <w:pgSz w:w="12240" w:h="15840"/>
          <w:pgMar w:top="1080" w:right="1080" w:bottom="1080" w:left="1080" w:header="720" w:footer="720" w:gutter="0"/>
          <w:cols w:space="720"/>
          <w:titlePg/>
          <w:docGrid w:linePitch="360"/>
        </w:sectPr>
      </w:pPr>
    </w:p>
    <w:p w:rsidR="00230B5A" w:rsidRPr="00230B5A" w:rsidRDefault="00230B5A" w:rsidP="00230B5A">
      <w:pPr>
        <w:rPr>
          <w:b/>
          <w:bCs/>
          <w:u w:val="single"/>
        </w:rPr>
      </w:pPr>
      <w:r w:rsidRPr="00230B5A">
        <w:rPr>
          <w:b/>
          <w:bCs/>
          <w:u w:val="single"/>
        </w:rPr>
        <w:t>General Competencies</w:t>
      </w:r>
    </w:p>
    <w:p w:rsidR="00230B5A" w:rsidRDefault="00230B5A" w:rsidP="00230B5A">
      <w:r>
        <w:t>Accountabilit</w:t>
      </w:r>
      <w:r>
        <w:t>y</w:t>
      </w:r>
    </w:p>
    <w:p w:rsidR="00230B5A" w:rsidRDefault="00230B5A" w:rsidP="00230B5A">
      <w:r>
        <w:t>Attention to Detail</w:t>
      </w:r>
    </w:p>
    <w:p w:rsidR="00230B5A" w:rsidRDefault="00230B5A" w:rsidP="00230B5A">
      <w:r>
        <w:t>Conflict Management</w:t>
      </w:r>
    </w:p>
    <w:p w:rsidR="00230B5A" w:rsidRDefault="00230B5A" w:rsidP="00230B5A">
      <w:r>
        <w:t>Creative Thinking</w:t>
      </w:r>
    </w:p>
    <w:p w:rsidR="00230B5A" w:rsidRDefault="00230B5A" w:rsidP="00230B5A">
      <w:r>
        <w:t>Customer Service</w:t>
      </w:r>
    </w:p>
    <w:p w:rsidR="00230B5A" w:rsidRDefault="00230B5A" w:rsidP="00230B5A">
      <w:r>
        <w:t>Decision Making</w:t>
      </w:r>
    </w:p>
    <w:p w:rsidR="00230B5A" w:rsidRDefault="00230B5A" w:rsidP="00230B5A">
      <w:r>
        <w:t>External Awareness</w:t>
      </w:r>
    </w:p>
    <w:p w:rsidR="00230B5A" w:rsidRDefault="00230B5A" w:rsidP="00230B5A">
      <w:r>
        <w:t>Flexibility</w:t>
      </w:r>
    </w:p>
    <w:p w:rsidR="00230B5A" w:rsidRDefault="00230B5A" w:rsidP="00230B5A">
      <w:r>
        <w:t>Influencing/Negotiating</w:t>
      </w:r>
    </w:p>
    <w:p w:rsidR="00230B5A" w:rsidRDefault="00230B5A" w:rsidP="00230B5A">
      <w:r>
        <w:t>Information Management</w:t>
      </w:r>
    </w:p>
    <w:p w:rsidR="00230B5A" w:rsidRDefault="00230B5A" w:rsidP="00230B5A">
      <w:r>
        <w:t>Integrity/Honesty</w:t>
      </w:r>
    </w:p>
    <w:p w:rsidR="00230B5A" w:rsidRDefault="00230B5A" w:rsidP="00230B5A">
      <w:r>
        <w:t>Interpersonal Skills</w:t>
      </w:r>
    </w:p>
    <w:p w:rsidR="00230B5A" w:rsidRDefault="00230B5A" w:rsidP="00230B5A">
      <w:r>
        <w:t>Leadership</w:t>
      </w:r>
    </w:p>
    <w:p w:rsidR="00230B5A" w:rsidRDefault="00230B5A" w:rsidP="00230B5A">
      <w:r>
        <w:t>Manages Human Resources</w:t>
      </w:r>
    </w:p>
    <w:p w:rsidR="00230B5A" w:rsidRDefault="00230B5A" w:rsidP="00230B5A">
      <w:r>
        <w:t>Manages Resources</w:t>
      </w:r>
    </w:p>
    <w:p w:rsidR="00230B5A" w:rsidRDefault="00230B5A" w:rsidP="00230B5A">
      <w:r>
        <w:t>Oral Communication</w:t>
      </w:r>
    </w:p>
    <w:p w:rsidR="00230B5A" w:rsidRDefault="00230B5A" w:rsidP="00230B5A">
      <w:r>
        <w:t>Organizational Awareness</w:t>
      </w:r>
    </w:p>
    <w:p w:rsidR="00230B5A" w:rsidRDefault="00230B5A" w:rsidP="00230B5A">
      <w:r>
        <w:t>Partnering</w:t>
      </w:r>
    </w:p>
    <w:p w:rsidR="00230B5A" w:rsidRDefault="00230B5A" w:rsidP="00230B5A">
      <w:r>
        <w:t>Planning and Evaluating</w:t>
      </w:r>
    </w:p>
    <w:p w:rsidR="00230B5A" w:rsidRDefault="00230B5A" w:rsidP="00230B5A">
      <w:r>
        <w:t>Political Savvy</w:t>
      </w:r>
    </w:p>
    <w:p w:rsidR="00230B5A" w:rsidRDefault="00230B5A" w:rsidP="00230B5A">
      <w:r>
        <w:t>Problem Solving</w:t>
      </w:r>
    </w:p>
    <w:p w:rsidR="00230B5A" w:rsidRDefault="00230B5A" w:rsidP="00230B5A">
      <w:r>
        <w:t>Reading Comprehension</w:t>
      </w:r>
    </w:p>
    <w:p w:rsidR="00230B5A" w:rsidRDefault="00230B5A" w:rsidP="00230B5A">
      <w:r>
        <w:t>Reasoning</w:t>
      </w:r>
    </w:p>
    <w:p w:rsidR="00230B5A" w:rsidRDefault="00230B5A" w:rsidP="00230B5A">
      <w:r>
        <w:t>Strategic Thinking</w:t>
      </w:r>
    </w:p>
    <w:p w:rsidR="00230B5A" w:rsidRDefault="00230B5A" w:rsidP="00230B5A">
      <w:r>
        <w:t>Teaching Others</w:t>
      </w:r>
    </w:p>
    <w:p w:rsidR="00230B5A" w:rsidRDefault="00230B5A" w:rsidP="00230B5A">
      <w:r>
        <w:t>Team Building</w:t>
      </w:r>
    </w:p>
    <w:p w:rsidR="00230B5A" w:rsidRDefault="00230B5A" w:rsidP="00230B5A">
      <w:r>
        <w:t>Teamwork</w:t>
      </w:r>
    </w:p>
    <w:p w:rsidR="00230B5A" w:rsidRDefault="00230B5A" w:rsidP="00230B5A">
      <w:r>
        <w:t>Technical Competence</w:t>
      </w:r>
    </w:p>
    <w:p w:rsidR="00230B5A" w:rsidRDefault="00230B5A" w:rsidP="00230B5A">
      <w:r>
        <w:t>Technical Credibility</w:t>
      </w:r>
    </w:p>
    <w:p w:rsidR="00230B5A" w:rsidRDefault="00230B5A" w:rsidP="00230B5A">
      <w:r>
        <w:t>Technology Application</w:t>
      </w:r>
    </w:p>
    <w:p w:rsidR="00230B5A" w:rsidRDefault="00230B5A" w:rsidP="00230B5A">
      <w:r>
        <w:t>Writing</w:t>
      </w:r>
    </w:p>
    <w:p w:rsidR="008F3D00" w:rsidRDefault="008F3D00" w:rsidP="00230B5A"/>
    <w:p w:rsidR="008F3D00" w:rsidRDefault="008F3D00" w:rsidP="00230B5A"/>
    <w:p w:rsidR="00230B5A" w:rsidRPr="00230B5A" w:rsidRDefault="00230B5A" w:rsidP="00230B5A">
      <w:pPr>
        <w:rPr>
          <w:b/>
          <w:bCs/>
          <w:u w:val="single"/>
        </w:rPr>
      </w:pPr>
      <w:r w:rsidRPr="00230B5A">
        <w:rPr>
          <w:b/>
          <w:bCs/>
          <w:u w:val="single"/>
        </w:rPr>
        <w:t>Technical Competencies</w:t>
      </w:r>
    </w:p>
    <w:p w:rsidR="00230B5A" w:rsidRDefault="00230B5A" w:rsidP="00230B5A">
      <w:r>
        <w:t>Acquisition Strategy</w:t>
      </w:r>
    </w:p>
    <w:p w:rsidR="00230B5A" w:rsidRDefault="00230B5A" w:rsidP="00230B5A">
      <w:r>
        <w:t>Change Management</w:t>
      </w:r>
    </w:p>
    <w:p w:rsidR="00230B5A" w:rsidRDefault="00230B5A" w:rsidP="00230B5A">
      <w:r>
        <w:t>Compliance</w:t>
      </w:r>
    </w:p>
    <w:p w:rsidR="00230B5A" w:rsidRDefault="00230B5A" w:rsidP="00230B5A">
      <w:r>
        <w:t>Contracting/Procurement</w:t>
      </w:r>
    </w:p>
    <w:p w:rsidR="00230B5A" w:rsidRDefault="00230B5A" w:rsidP="00230B5A">
      <w:r>
        <w:t>Financial Management</w:t>
      </w:r>
    </w:p>
    <w:p w:rsidR="00230B5A" w:rsidRDefault="00230B5A" w:rsidP="00230B5A">
      <w:r>
        <w:t>Knowledge Management</w:t>
      </w:r>
    </w:p>
    <w:p w:rsidR="00230B5A" w:rsidRDefault="00230B5A" w:rsidP="00230B5A">
      <w:r>
        <w:t>Performance Measurement</w:t>
      </w:r>
    </w:p>
    <w:p w:rsidR="00230B5A" w:rsidRDefault="00230B5A" w:rsidP="00230B5A">
      <w:r>
        <w:t>Program Management</w:t>
      </w:r>
    </w:p>
    <w:p w:rsidR="00230B5A" w:rsidRDefault="00230B5A" w:rsidP="00230B5A">
      <w:r>
        <w:t>Project Management</w:t>
      </w:r>
    </w:p>
    <w:p w:rsidR="00230B5A" w:rsidRDefault="00230B5A" w:rsidP="00230B5A">
      <w:r>
        <w:t>Quality Management</w:t>
      </w:r>
    </w:p>
    <w:p w:rsidR="00230B5A" w:rsidRDefault="00230B5A" w:rsidP="00230B5A">
      <w:r>
        <w:t>Requirements Management</w:t>
      </w:r>
    </w:p>
    <w:p w:rsidR="00230B5A" w:rsidRDefault="00230B5A" w:rsidP="00230B5A">
      <w:r>
        <w:t>Risk Management</w:t>
      </w:r>
    </w:p>
    <w:p w:rsidR="00230B5A" w:rsidRDefault="00230B5A" w:rsidP="00230B5A">
      <w:r>
        <w:t>Schedule Management</w:t>
      </w:r>
    </w:p>
    <w:p w:rsidR="00230B5A" w:rsidRDefault="00230B5A" w:rsidP="00230B5A">
      <w:r>
        <w:t>Scope Management</w:t>
      </w:r>
    </w:p>
    <w:p w:rsidR="00A9204E" w:rsidRDefault="00230B5A" w:rsidP="00230B5A">
      <w:r>
        <w:t>Stakeholder Management</w:t>
      </w:r>
    </w:p>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 w:rsidR="00F1493D" w:rsidRDefault="00F1493D" w:rsidP="00230B5A">
      <w:pPr>
        <w:sectPr w:rsidR="00F1493D" w:rsidSect="00F1493D">
          <w:type w:val="continuous"/>
          <w:pgSz w:w="12240" w:h="15840"/>
          <w:pgMar w:top="1440" w:right="1440" w:bottom="1440" w:left="1440" w:header="720" w:footer="720" w:gutter="0"/>
          <w:cols w:num="2" w:space="720"/>
          <w:docGrid w:linePitch="360"/>
        </w:sectPr>
      </w:pPr>
    </w:p>
    <w:p w:rsidR="00F1493D" w:rsidRDefault="00F1493D" w:rsidP="00230B5A">
      <w:r>
        <w:lastRenderedPageBreak/>
        <w:t xml:space="preserve">The assessment process uses </w:t>
      </w:r>
      <w:r w:rsidR="009D4487">
        <w:t xml:space="preserve">a combination of the above </w:t>
      </w:r>
      <w:r>
        <w:t xml:space="preserve">competencies in a competency model (already </w:t>
      </w:r>
      <w:r w:rsidR="009D4487">
        <w:t xml:space="preserve">loaded into the CEDAR tool) and proficiency level rating options. Below is screenshot example of a supervisor’s page where they are asked to provide their assessment of the employee. The supervisor is required to enter a targeted proficiency level rating and an employee’s current proficiency level rating for the assessment. </w:t>
      </w:r>
    </w:p>
    <w:p w:rsidR="00EE6CF0" w:rsidRDefault="00095AAB" w:rsidP="00230B5A">
      <w:r>
        <w:rPr>
          <w:noProof/>
        </w:rPr>
        <w:drawing>
          <wp:anchor distT="0" distB="0" distL="114300" distR="114300" simplePos="0" relativeHeight="251658240" behindDoc="0" locked="0" layoutInCell="1" allowOverlap="1" wp14:anchorId="2142360D">
            <wp:simplePos x="0" y="0"/>
            <wp:positionH relativeFrom="margin">
              <wp:posOffset>-685800</wp:posOffset>
            </wp:positionH>
            <wp:positionV relativeFrom="paragraph">
              <wp:posOffset>99696</wp:posOffset>
            </wp:positionV>
            <wp:extent cx="7392670" cy="3429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9696" t="22451" r="9791" b="11159"/>
                    <a:stretch/>
                  </pic:blipFill>
                  <pic:spPr bwMode="auto">
                    <a:xfrm>
                      <a:off x="0" y="0"/>
                      <a:ext cx="7393055" cy="34291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6CF0" w:rsidRDefault="00EE6CF0"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p w:rsidR="004471BF" w:rsidRDefault="004471BF" w:rsidP="00230B5A">
      <w:r>
        <w:t xml:space="preserve">Proficiency level ratings and their definitions are available for each </w:t>
      </w:r>
      <w:r w:rsidR="00FF030F">
        <w:t xml:space="preserve">competency in both the targeted and employee columns. </w:t>
      </w:r>
      <w:r w:rsidR="008F3D00">
        <w:t xml:space="preserve">The “N/A” option was added to the proficiency level ratings options for the assessments based on feedback from multiple agencies. It encourages a supervisor to choose “N/A” instead of deleting a competency that they don’t think is relevant to a </w:t>
      </w:r>
      <w:proofErr w:type="gramStart"/>
      <w:r w:rsidR="008F3D00">
        <w:t>particular position</w:t>
      </w:r>
      <w:proofErr w:type="gramEnd"/>
      <w:r w:rsidR="008F3D00">
        <w:t>. This is important for supervisors using competency models</w:t>
      </w:r>
      <w:r w:rsidR="00824052">
        <w:t>, such as those for the PMIAA</w:t>
      </w:r>
      <w:r w:rsidR="008F3D00">
        <w:t xml:space="preserve">. </w:t>
      </w:r>
    </w:p>
    <w:p w:rsidR="00F342F3" w:rsidRDefault="00F342F3" w:rsidP="00230B5A"/>
    <w:p w:rsidR="00F342F3" w:rsidRPr="00F342F3" w:rsidRDefault="00F342F3" w:rsidP="00230B5A">
      <w:pPr>
        <w:rPr>
          <w:b/>
          <w:bCs/>
          <w:u w:val="single"/>
        </w:rPr>
      </w:pPr>
      <w:r w:rsidRPr="00F342F3">
        <w:rPr>
          <w:b/>
          <w:bCs/>
          <w:u w:val="single"/>
        </w:rPr>
        <w:t>Proficiency Level Ratings with Definitions</w:t>
      </w:r>
    </w:p>
    <w:p w:rsidR="00F342F3" w:rsidRDefault="00F342F3" w:rsidP="00230B5A"/>
    <w:tbl>
      <w:tblPr>
        <w:tblStyle w:val="TableGrid"/>
        <w:tblW w:w="0" w:type="auto"/>
        <w:tblLook w:val="04A0" w:firstRow="1" w:lastRow="0" w:firstColumn="1" w:lastColumn="0" w:noHBand="0" w:noVBand="1"/>
      </w:tblPr>
      <w:tblGrid>
        <w:gridCol w:w="738"/>
        <w:gridCol w:w="1387"/>
        <w:gridCol w:w="1057"/>
        <w:gridCol w:w="5860"/>
      </w:tblGrid>
      <w:tr w:rsidR="00F342F3" w:rsidRPr="00F342F3" w:rsidTr="00F342F3">
        <w:trPr>
          <w:trHeight w:val="300"/>
        </w:trPr>
        <w:tc>
          <w:tcPr>
            <w:tcW w:w="738" w:type="dxa"/>
            <w:noWrap/>
            <w:hideMark/>
          </w:tcPr>
          <w:p w:rsidR="00F342F3" w:rsidRPr="00F342F3" w:rsidRDefault="00F342F3">
            <w:pPr>
              <w:rPr>
                <w:b/>
                <w:bCs/>
              </w:rPr>
            </w:pPr>
            <w:r w:rsidRPr="00F342F3">
              <w:rPr>
                <w:b/>
                <w:bCs/>
              </w:rPr>
              <w:t>Value</w:t>
            </w:r>
          </w:p>
        </w:tc>
        <w:tc>
          <w:tcPr>
            <w:tcW w:w="1387" w:type="dxa"/>
            <w:noWrap/>
            <w:hideMark/>
          </w:tcPr>
          <w:p w:rsidR="00F342F3" w:rsidRPr="00F342F3" w:rsidRDefault="00F342F3">
            <w:pPr>
              <w:rPr>
                <w:b/>
                <w:bCs/>
              </w:rPr>
            </w:pPr>
            <w:r w:rsidRPr="00F342F3">
              <w:rPr>
                <w:b/>
                <w:bCs/>
              </w:rPr>
              <w:t>Name</w:t>
            </w:r>
          </w:p>
        </w:tc>
        <w:tc>
          <w:tcPr>
            <w:tcW w:w="1040" w:type="dxa"/>
            <w:noWrap/>
            <w:hideMark/>
          </w:tcPr>
          <w:p w:rsidR="00F342F3" w:rsidRPr="00F342F3" w:rsidRDefault="00F342F3">
            <w:pPr>
              <w:rPr>
                <w:b/>
                <w:bCs/>
              </w:rPr>
            </w:pPr>
            <w:r w:rsidRPr="00F342F3">
              <w:rPr>
                <w:b/>
                <w:bCs/>
              </w:rPr>
              <w:t>Type</w:t>
            </w:r>
          </w:p>
        </w:tc>
        <w:tc>
          <w:tcPr>
            <w:tcW w:w="5860" w:type="dxa"/>
            <w:noWrap/>
            <w:hideMark/>
          </w:tcPr>
          <w:p w:rsidR="00F342F3" w:rsidRPr="00F342F3" w:rsidRDefault="00F342F3">
            <w:pPr>
              <w:rPr>
                <w:b/>
                <w:bCs/>
              </w:rPr>
            </w:pPr>
            <w:r w:rsidRPr="00F342F3">
              <w:rPr>
                <w:b/>
                <w:bCs/>
              </w:rPr>
              <w:t>Definition</w:t>
            </w:r>
          </w:p>
        </w:tc>
      </w:tr>
      <w:tr w:rsidR="00F342F3" w:rsidRPr="00F342F3" w:rsidTr="00F342F3">
        <w:trPr>
          <w:trHeight w:val="600"/>
        </w:trPr>
        <w:tc>
          <w:tcPr>
            <w:tcW w:w="738" w:type="dxa"/>
            <w:noWrap/>
            <w:hideMark/>
          </w:tcPr>
          <w:p w:rsidR="00F342F3" w:rsidRPr="00F342F3" w:rsidRDefault="00F342F3" w:rsidP="00F342F3">
            <w:pPr>
              <w:jc w:val="center"/>
            </w:pPr>
            <w:r w:rsidRPr="00F342F3">
              <w:t>1</w:t>
            </w:r>
          </w:p>
        </w:tc>
        <w:tc>
          <w:tcPr>
            <w:tcW w:w="1387" w:type="dxa"/>
            <w:noWrap/>
            <w:hideMark/>
          </w:tcPr>
          <w:p w:rsidR="00F342F3" w:rsidRPr="00F342F3" w:rsidRDefault="00F342F3">
            <w:r w:rsidRPr="00F342F3">
              <w:t>Awareness</w:t>
            </w:r>
          </w:p>
        </w:tc>
        <w:tc>
          <w:tcPr>
            <w:tcW w:w="1040" w:type="dxa"/>
            <w:noWrap/>
            <w:hideMark/>
          </w:tcPr>
          <w:p w:rsidR="00F342F3" w:rsidRPr="00F342F3" w:rsidRDefault="00F342F3">
            <w:r w:rsidRPr="00F342F3">
              <w:t>General</w:t>
            </w:r>
          </w:p>
        </w:tc>
        <w:tc>
          <w:tcPr>
            <w:tcW w:w="5860" w:type="dxa"/>
            <w:hideMark/>
          </w:tcPr>
          <w:p w:rsidR="00F342F3" w:rsidRPr="00F342F3" w:rsidRDefault="00F342F3">
            <w:r w:rsidRPr="00F342F3">
              <w:t>• Applies the competency in the simplest situations</w:t>
            </w:r>
            <w:r w:rsidRPr="00F342F3">
              <w:br/>
              <w:t>• Requires close and extensive guidance</w:t>
            </w:r>
          </w:p>
        </w:tc>
      </w:tr>
      <w:tr w:rsidR="00F342F3" w:rsidRPr="00F342F3" w:rsidTr="00F342F3">
        <w:trPr>
          <w:trHeight w:val="600"/>
        </w:trPr>
        <w:tc>
          <w:tcPr>
            <w:tcW w:w="738" w:type="dxa"/>
            <w:noWrap/>
            <w:hideMark/>
          </w:tcPr>
          <w:p w:rsidR="00F342F3" w:rsidRPr="00F342F3" w:rsidRDefault="00F342F3" w:rsidP="00F342F3">
            <w:pPr>
              <w:jc w:val="center"/>
            </w:pPr>
            <w:r w:rsidRPr="00F342F3">
              <w:t>2</w:t>
            </w:r>
          </w:p>
        </w:tc>
        <w:tc>
          <w:tcPr>
            <w:tcW w:w="1387" w:type="dxa"/>
            <w:noWrap/>
            <w:hideMark/>
          </w:tcPr>
          <w:p w:rsidR="00F342F3" w:rsidRPr="00F342F3" w:rsidRDefault="00F342F3">
            <w:r w:rsidRPr="00F342F3">
              <w:t>Basic</w:t>
            </w:r>
          </w:p>
        </w:tc>
        <w:tc>
          <w:tcPr>
            <w:tcW w:w="1040" w:type="dxa"/>
            <w:noWrap/>
            <w:hideMark/>
          </w:tcPr>
          <w:p w:rsidR="00F342F3" w:rsidRPr="00F342F3" w:rsidRDefault="00F342F3">
            <w:r w:rsidRPr="00F342F3">
              <w:t>General</w:t>
            </w:r>
          </w:p>
        </w:tc>
        <w:tc>
          <w:tcPr>
            <w:tcW w:w="5860" w:type="dxa"/>
            <w:hideMark/>
          </w:tcPr>
          <w:p w:rsidR="00F342F3" w:rsidRPr="00F342F3" w:rsidRDefault="00F342F3">
            <w:r w:rsidRPr="00F342F3">
              <w:t>• Applies the competency in somewhat difficult situations</w:t>
            </w:r>
            <w:r w:rsidRPr="00F342F3">
              <w:br/>
              <w:t>• Requires frequent guidance</w:t>
            </w:r>
          </w:p>
        </w:tc>
      </w:tr>
      <w:tr w:rsidR="00F342F3" w:rsidRPr="00F342F3" w:rsidTr="00F342F3">
        <w:trPr>
          <w:trHeight w:val="600"/>
        </w:trPr>
        <w:tc>
          <w:tcPr>
            <w:tcW w:w="738" w:type="dxa"/>
            <w:noWrap/>
            <w:hideMark/>
          </w:tcPr>
          <w:p w:rsidR="00F342F3" w:rsidRPr="00F342F3" w:rsidRDefault="00F342F3" w:rsidP="00F342F3">
            <w:pPr>
              <w:jc w:val="center"/>
            </w:pPr>
            <w:r w:rsidRPr="00F342F3">
              <w:t>3</w:t>
            </w:r>
          </w:p>
        </w:tc>
        <w:tc>
          <w:tcPr>
            <w:tcW w:w="1387" w:type="dxa"/>
            <w:noWrap/>
            <w:hideMark/>
          </w:tcPr>
          <w:p w:rsidR="00F342F3" w:rsidRPr="00F342F3" w:rsidRDefault="00F342F3">
            <w:r w:rsidRPr="00F342F3">
              <w:t>Intermediate</w:t>
            </w:r>
          </w:p>
        </w:tc>
        <w:tc>
          <w:tcPr>
            <w:tcW w:w="1040" w:type="dxa"/>
            <w:noWrap/>
            <w:hideMark/>
          </w:tcPr>
          <w:p w:rsidR="00F342F3" w:rsidRPr="00F342F3" w:rsidRDefault="00F342F3">
            <w:r w:rsidRPr="00F342F3">
              <w:t>General</w:t>
            </w:r>
          </w:p>
        </w:tc>
        <w:tc>
          <w:tcPr>
            <w:tcW w:w="5860" w:type="dxa"/>
            <w:hideMark/>
          </w:tcPr>
          <w:p w:rsidR="00F342F3" w:rsidRPr="00F342F3" w:rsidRDefault="00F342F3">
            <w:r w:rsidRPr="00F342F3">
              <w:t>• Applies the competency in difficult situations</w:t>
            </w:r>
            <w:r w:rsidRPr="00F342F3">
              <w:br/>
              <w:t>• Requires occasional guidance</w:t>
            </w:r>
          </w:p>
        </w:tc>
      </w:tr>
      <w:tr w:rsidR="00F342F3" w:rsidRPr="00F342F3" w:rsidTr="00F342F3">
        <w:trPr>
          <w:trHeight w:val="600"/>
        </w:trPr>
        <w:tc>
          <w:tcPr>
            <w:tcW w:w="738" w:type="dxa"/>
            <w:noWrap/>
            <w:hideMark/>
          </w:tcPr>
          <w:p w:rsidR="00F342F3" w:rsidRPr="00F342F3" w:rsidRDefault="00F342F3" w:rsidP="00F342F3">
            <w:pPr>
              <w:jc w:val="center"/>
            </w:pPr>
            <w:r w:rsidRPr="00F342F3">
              <w:t>4</w:t>
            </w:r>
          </w:p>
        </w:tc>
        <w:tc>
          <w:tcPr>
            <w:tcW w:w="1387" w:type="dxa"/>
            <w:noWrap/>
            <w:hideMark/>
          </w:tcPr>
          <w:p w:rsidR="00F342F3" w:rsidRPr="00F342F3" w:rsidRDefault="00F342F3">
            <w:r w:rsidRPr="00F342F3">
              <w:t>Advanced</w:t>
            </w:r>
          </w:p>
        </w:tc>
        <w:tc>
          <w:tcPr>
            <w:tcW w:w="1040" w:type="dxa"/>
            <w:noWrap/>
            <w:hideMark/>
          </w:tcPr>
          <w:p w:rsidR="00F342F3" w:rsidRPr="00F342F3" w:rsidRDefault="00F342F3">
            <w:r w:rsidRPr="00F342F3">
              <w:t>General</w:t>
            </w:r>
          </w:p>
        </w:tc>
        <w:tc>
          <w:tcPr>
            <w:tcW w:w="5860" w:type="dxa"/>
            <w:hideMark/>
          </w:tcPr>
          <w:p w:rsidR="00F342F3" w:rsidRPr="00F342F3" w:rsidRDefault="00F342F3">
            <w:r w:rsidRPr="00F342F3">
              <w:t>• Applies the competency in considerably difficult situations</w:t>
            </w:r>
            <w:r w:rsidRPr="00F342F3">
              <w:br/>
              <w:t>• Generally requires little or no guidance</w:t>
            </w:r>
          </w:p>
        </w:tc>
      </w:tr>
      <w:tr w:rsidR="00F342F3" w:rsidRPr="00F342F3" w:rsidTr="00F342F3">
        <w:trPr>
          <w:trHeight w:val="600"/>
        </w:trPr>
        <w:tc>
          <w:tcPr>
            <w:tcW w:w="738" w:type="dxa"/>
            <w:noWrap/>
            <w:hideMark/>
          </w:tcPr>
          <w:p w:rsidR="00F342F3" w:rsidRPr="00F342F3" w:rsidRDefault="00F342F3" w:rsidP="00F342F3">
            <w:pPr>
              <w:jc w:val="center"/>
            </w:pPr>
            <w:r w:rsidRPr="00F342F3">
              <w:t>5</w:t>
            </w:r>
          </w:p>
        </w:tc>
        <w:tc>
          <w:tcPr>
            <w:tcW w:w="1387" w:type="dxa"/>
            <w:noWrap/>
            <w:hideMark/>
          </w:tcPr>
          <w:p w:rsidR="00F342F3" w:rsidRPr="00F342F3" w:rsidRDefault="00F342F3">
            <w:r w:rsidRPr="00F342F3">
              <w:t>Expert</w:t>
            </w:r>
          </w:p>
        </w:tc>
        <w:tc>
          <w:tcPr>
            <w:tcW w:w="1040" w:type="dxa"/>
            <w:noWrap/>
            <w:hideMark/>
          </w:tcPr>
          <w:p w:rsidR="00F342F3" w:rsidRPr="00F342F3" w:rsidRDefault="00F342F3">
            <w:r w:rsidRPr="00F342F3">
              <w:t>General</w:t>
            </w:r>
          </w:p>
        </w:tc>
        <w:tc>
          <w:tcPr>
            <w:tcW w:w="5860" w:type="dxa"/>
            <w:hideMark/>
          </w:tcPr>
          <w:p w:rsidR="00F342F3" w:rsidRPr="00F342F3" w:rsidRDefault="00F342F3">
            <w:r w:rsidRPr="00F342F3">
              <w:t>• Applies the competency in exceptionally difficult situations</w:t>
            </w:r>
            <w:r w:rsidRPr="00F342F3">
              <w:br/>
              <w:t>• Serves as a key resource and advises others</w:t>
            </w:r>
          </w:p>
        </w:tc>
      </w:tr>
      <w:tr w:rsidR="00F342F3" w:rsidRPr="00F342F3" w:rsidTr="00F342F3">
        <w:trPr>
          <w:trHeight w:val="300"/>
        </w:trPr>
        <w:tc>
          <w:tcPr>
            <w:tcW w:w="738" w:type="dxa"/>
            <w:noWrap/>
            <w:hideMark/>
          </w:tcPr>
          <w:p w:rsidR="00F342F3" w:rsidRPr="00F342F3" w:rsidRDefault="00F342F3" w:rsidP="00F342F3">
            <w:pPr>
              <w:rPr>
                <w:rFonts w:ascii="Calibri" w:eastAsia="Times New Roman" w:hAnsi="Calibri" w:cs="Calibri"/>
                <w:b/>
                <w:bCs/>
                <w:color w:val="000000"/>
              </w:rPr>
            </w:pPr>
            <w:r w:rsidRPr="00F342F3">
              <w:rPr>
                <w:rFonts w:ascii="Calibri" w:eastAsia="Times New Roman" w:hAnsi="Calibri" w:cs="Calibri"/>
                <w:b/>
                <w:bCs/>
                <w:color w:val="000000"/>
              </w:rPr>
              <w:lastRenderedPageBreak/>
              <w:t>Value</w:t>
            </w:r>
          </w:p>
        </w:tc>
        <w:tc>
          <w:tcPr>
            <w:tcW w:w="1387" w:type="dxa"/>
            <w:noWrap/>
            <w:hideMark/>
          </w:tcPr>
          <w:p w:rsidR="00F342F3" w:rsidRPr="00F342F3" w:rsidRDefault="00F342F3" w:rsidP="00F342F3">
            <w:pPr>
              <w:rPr>
                <w:rFonts w:ascii="Calibri" w:eastAsia="Times New Roman" w:hAnsi="Calibri" w:cs="Calibri"/>
                <w:b/>
                <w:bCs/>
                <w:color w:val="000000"/>
              </w:rPr>
            </w:pPr>
            <w:r w:rsidRPr="00F342F3">
              <w:rPr>
                <w:rFonts w:ascii="Calibri" w:eastAsia="Times New Roman" w:hAnsi="Calibri" w:cs="Calibri"/>
                <w:b/>
                <w:bCs/>
                <w:color w:val="000000"/>
              </w:rPr>
              <w:t>Name</w:t>
            </w:r>
          </w:p>
        </w:tc>
        <w:tc>
          <w:tcPr>
            <w:tcW w:w="1040" w:type="dxa"/>
            <w:noWrap/>
            <w:hideMark/>
          </w:tcPr>
          <w:p w:rsidR="00F342F3" w:rsidRPr="00F342F3" w:rsidRDefault="00F342F3" w:rsidP="00F342F3">
            <w:pPr>
              <w:rPr>
                <w:rFonts w:ascii="Calibri" w:eastAsia="Times New Roman" w:hAnsi="Calibri" w:cs="Calibri"/>
                <w:b/>
                <w:bCs/>
                <w:color w:val="000000"/>
              </w:rPr>
            </w:pPr>
            <w:r w:rsidRPr="00F342F3">
              <w:rPr>
                <w:rFonts w:ascii="Calibri" w:eastAsia="Times New Roman" w:hAnsi="Calibri" w:cs="Calibri"/>
                <w:b/>
                <w:bCs/>
                <w:color w:val="000000"/>
              </w:rPr>
              <w:t>Type</w:t>
            </w:r>
          </w:p>
        </w:tc>
        <w:tc>
          <w:tcPr>
            <w:tcW w:w="5860" w:type="dxa"/>
            <w:noWrap/>
            <w:hideMark/>
          </w:tcPr>
          <w:p w:rsidR="00F342F3" w:rsidRPr="00F342F3" w:rsidRDefault="00F342F3" w:rsidP="00F342F3">
            <w:pPr>
              <w:rPr>
                <w:rFonts w:ascii="Calibri" w:eastAsia="Times New Roman" w:hAnsi="Calibri" w:cs="Calibri"/>
                <w:b/>
                <w:bCs/>
                <w:color w:val="000000"/>
              </w:rPr>
            </w:pPr>
            <w:r w:rsidRPr="00F342F3">
              <w:rPr>
                <w:rFonts w:ascii="Calibri" w:eastAsia="Times New Roman" w:hAnsi="Calibri" w:cs="Calibri"/>
                <w:b/>
                <w:bCs/>
                <w:color w:val="000000"/>
              </w:rPr>
              <w:t>Defin</w:t>
            </w:r>
            <w:r>
              <w:rPr>
                <w:rFonts w:ascii="Calibri" w:eastAsia="Times New Roman" w:hAnsi="Calibri" w:cs="Calibri"/>
                <w:b/>
                <w:bCs/>
                <w:color w:val="000000"/>
              </w:rPr>
              <w:t>i</w:t>
            </w:r>
            <w:r w:rsidRPr="00F342F3">
              <w:rPr>
                <w:rFonts w:ascii="Calibri" w:eastAsia="Times New Roman" w:hAnsi="Calibri" w:cs="Calibri"/>
                <w:b/>
                <w:bCs/>
                <w:color w:val="000000"/>
              </w:rPr>
              <w:t>tion</w:t>
            </w:r>
          </w:p>
        </w:tc>
      </w:tr>
      <w:tr w:rsidR="00F342F3" w:rsidRPr="00F342F3" w:rsidTr="00F342F3">
        <w:trPr>
          <w:trHeight w:val="900"/>
        </w:trPr>
        <w:tc>
          <w:tcPr>
            <w:tcW w:w="738" w:type="dxa"/>
            <w:noWrap/>
            <w:hideMark/>
          </w:tcPr>
          <w:p w:rsidR="00F342F3" w:rsidRPr="00F342F3" w:rsidRDefault="00F342F3" w:rsidP="00F342F3">
            <w:pPr>
              <w:jc w:val="center"/>
              <w:rPr>
                <w:rFonts w:ascii="Calibri" w:eastAsia="Times New Roman" w:hAnsi="Calibri" w:cs="Calibri"/>
                <w:color w:val="000000"/>
              </w:rPr>
            </w:pPr>
            <w:r w:rsidRPr="00F342F3">
              <w:rPr>
                <w:rFonts w:ascii="Calibri" w:eastAsia="Times New Roman" w:hAnsi="Calibri" w:cs="Calibri"/>
                <w:color w:val="000000"/>
              </w:rPr>
              <w:t>1</w:t>
            </w:r>
          </w:p>
        </w:tc>
        <w:tc>
          <w:tcPr>
            <w:tcW w:w="1387"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Awareness</w:t>
            </w:r>
          </w:p>
        </w:tc>
        <w:tc>
          <w:tcPr>
            <w:tcW w:w="1040"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Technical</w:t>
            </w:r>
          </w:p>
        </w:tc>
        <w:tc>
          <w:tcPr>
            <w:tcW w:w="5860" w:type="dxa"/>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 Applies the competency in the simplest situations</w:t>
            </w:r>
            <w:r w:rsidRPr="00F342F3">
              <w:rPr>
                <w:rFonts w:ascii="Calibri" w:eastAsia="Times New Roman" w:hAnsi="Calibri" w:cs="Calibri"/>
                <w:color w:val="000000"/>
              </w:rPr>
              <w:br/>
              <w:t>• Requires close and extensive guidance</w:t>
            </w:r>
            <w:r w:rsidRPr="00F342F3">
              <w:rPr>
                <w:rFonts w:ascii="Calibri" w:eastAsia="Times New Roman" w:hAnsi="Calibri" w:cs="Calibri"/>
                <w:color w:val="000000"/>
              </w:rPr>
              <w:br/>
              <w:t>• Demonstrates awareness of concepts and processes</w:t>
            </w:r>
          </w:p>
        </w:tc>
      </w:tr>
      <w:tr w:rsidR="00F342F3" w:rsidRPr="00F342F3" w:rsidTr="00F342F3">
        <w:trPr>
          <w:trHeight w:val="900"/>
        </w:trPr>
        <w:tc>
          <w:tcPr>
            <w:tcW w:w="738" w:type="dxa"/>
            <w:noWrap/>
            <w:hideMark/>
          </w:tcPr>
          <w:p w:rsidR="00F342F3" w:rsidRPr="00F342F3" w:rsidRDefault="00F342F3" w:rsidP="00F342F3">
            <w:pPr>
              <w:jc w:val="center"/>
              <w:rPr>
                <w:rFonts w:ascii="Calibri" w:eastAsia="Times New Roman" w:hAnsi="Calibri" w:cs="Calibri"/>
                <w:color w:val="000000"/>
              </w:rPr>
            </w:pPr>
            <w:r w:rsidRPr="00F342F3">
              <w:rPr>
                <w:rFonts w:ascii="Calibri" w:eastAsia="Times New Roman" w:hAnsi="Calibri" w:cs="Calibri"/>
                <w:color w:val="000000"/>
              </w:rPr>
              <w:t>2</w:t>
            </w:r>
          </w:p>
        </w:tc>
        <w:tc>
          <w:tcPr>
            <w:tcW w:w="1387"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Basic</w:t>
            </w:r>
          </w:p>
        </w:tc>
        <w:tc>
          <w:tcPr>
            <w:tcW w:w="1040"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Technical</w:t>
            </w:r>
          </w:p>
        </w:tc>
        <w:tc>
          <w:tcPr>
            <w:tcW w:w="5860" w:type="dxa"/>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 Applies the competency in somewhat difficult situations</w:t>
            </w:r>
            <w:r w:rsidRPr="00F342F3">
              <w:rPr>
                <w:rFonts w:ascii="Calibri" w:eastAsia="Times New Roman" w:hAnsi="Calibri" w:cs="Calibri"/>
                <w:color w:val="000000"/>
              </w:rPr>
              <w:br/>
              <w:t>• Requires frequent guidance</w:t>
            </w:r>
            <w:r w:rsidRPr="00F342F3">
              <w:rPr>
                <w:rFonts w:ascii="Calibri" w:eastAsia="Times New Roman" w:hAnsi="Calibri" w:cs="Calibri"/>
                <w:color w:val="000000"/>
              </w:rPr>
              <w:br/>
              <w:t>• Demonstrates familiarity with concepts and processes</w:t>
            </w:r>
          </w:p>
        </w:tc>
      </w:tr>
      <w:tr w:rsidR="00F342F3" w:rsidRPr="00F342F3" w:rsidTr="00F342F3">
        <w:trPr>
          <w:trHeight w:val="900"/>
        </w:trPr>
        <w:tc>
          <w:tcPr>
            <w:tcW w:w="738" w:type="dxa"/>
            <w:noWrap/>
            <w:hideMark/>
          </w:tcPr>
          <w:p w:rsidR="00F342F3" w:rsidRPr="00F342F3" w:rsidRDefault="00F342F3" w:rsidP="00F342F3">
            <w:pPr>
              <w:jc w:val="center"/>
              <w:rPr>
                <w:rFonts w:ascii="Calibri" w:eastAsia="Times New Roman" w:hAnsi="Calibri" w:cs="Calibri"/>
                <w:color w:val="000000"/>
              </w:rPr>
            </w:pPr>
            <w:r w:rsidRPr="00F342F3">
              <w:rPr>
                <w:rFonts w:ascii="Calibri" w:eastAsia="Times New Roman" w:hAnsi="Calibri" w:cs="Calibri"/>
                <w:color w:val="000000"/>
              </w:rPr>
              <w:t>3</w:t>
            </w:r>
          </w:p>
        </w:tc>
        <w:tc>
          <w:tcPr>
            <w:tcW w:w="1387"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Intermediate</w:t>
            </w:r>
          </w:p>
        </w:tc>
        <w:tc>
          <w:tcPr>
            <w:tcW w:w="1040"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Technical</w:t>
            </w:r>
          </w:p>
        </w:tc>
        <w:tc>
          <w:tcPr>
            <w:tcW w:w="5860" w:type="dxa"/>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 Applies the competency in difficult situations</w:t>
            </w:r>
            <w:r w:rsidRPr="00F342F3">
              <w:rPr>
                <w:rFonts w:ascii="Calibri" w:eastAsia="Times New Roman" w:hAnsi="Calibri" w:cs="Calibri"/>
                <w:color w:val="000000"/>
              </w:rPr>
              <w:br/>
              <w:t>• Requires occasional guidance</w:t>
            </w:r>
            <w:r w:rsidRPr="00F342F3">
              <w:rPr>
                <w:rFonts w:ascii="Calibri" w:eastAsia="Times New Roman" w:hAnsi="Calibri" w:cs="Calibri"/>
                <w:color w:val="000000"/>
              </w:rPr>
              <w:br/>
              <w:t>• Demonstrates understanding of concepts and processes</w:t>
            </w:r>
          </w:p>
        </w:tc>
      </w:tr>
      <w:tr w:rsidR="00F342F3" w:rsidRPr="00F342F3" w:rsidTr="00F342F3">
        <w:trPr>
          <w:trHeight w:val="900"/>
        </w:trPr>
        <w:tc>
          <w:tcPr>
            <w:tcW w:w="738" w:type="dxa"/>
            <w:noWrap/>
            <w:hideMark/>
          </w:tcPr>
          <w:p w:rsidR="00F342F3" w:rsidRPr="00F342F3" w:rsidRDefault="00F342F3" w:rsidP="00F342F3">
            <w:pPr>
              <w:jc w:val="center"/>
              <w:rPr>
                <w:rFonts w:ascii="Calibri" w:eastAsia="Times New Roman" w:hAnsi="Calibri" w:cs="Calibri"/>
                <w:color w:val="000000"/>
              </w:rPr>
            </w:pPr>
            <w:r w:rsidRPr="00F342F3">
              <w:rPr>
                <w:rFonts w:ascii="Calibri" w:eastAsia="Times New Roman" w:hAnsi="Calibri" w:cs="Calibri"/>
                <w:color w:val="000000"/>
              </w:rPr>
              <w:t>4</w:t>
            </w:r>
          </w:p>
        </w:tc>
        <w:tc>
          <w:tcPr>
            <w:tcW w:w="1387"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Advanced</w:t>
            </w:r>
          </w:p>
        </w:tc>
        <w:tc>
          <w:tcPr>
            <w:tcW w:w="1040"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Technical</w:t>
            </w:r>
          </w:p>
        </w:tc>
        <w:tc>
          <w:tcPr>
            <w:tcW w:w="5860" w:type="dxa"/>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 Applies the competency in considerably difficult situations</w:t>
            </w:r>
            <w:r w:rsidRPr="00F342F3">
              <w:rPr>
                <w:rFonts w:ascii="Calibri" w:eastAsia="Times New Roman" w:hAnsi="Calibri" w:cs="Calibri"/>
                <w:color w:val="000000"/>
              </w:rPr>
              <w:br/>
              <w:t>• Generally requires little or no guidance</w:t>
            </w:r>
            <w:r w:rsidRPr="00F342F3">
              <w:rPr>
                <w:rFonts w:ascii="Calibri" w:eastAsia="Times New Roman" w:hAnsi="Calibri" w:cs="Calibri"/>
                <w:color w:val="000000"/>
              </w:rPr>
              <w:br/>
              <w:t>• Demonstrates broad understanding of concepts and processes</w:t>
            </w:r>
          </w:p>
        </w:tc>
      </w:tr>
      <w:tr w:rsidR="00F342F3" w:rsidRPr="00F342F3" w:rsidTr="00F342F3">
        <w:trPr>
          <w:trHeight w:val="1200"/>
        </w:trPr>
        <w:tc>
          <w:tcPr>
            <w:tcW w:w="738" w:type="dxa"/>
            <w:noWrap/>
            <w:hideMark/>
          </w:tcPr>
          <w:p w:rsidR="00F342F3" w:rsidRPr="00F342F3" w:rsidRDefault="00F342F3" w:rsidP="00F342F3">
            <w:pPr>
              <w:jc w:val="center"/>
              <w:rPr>
                <w:rFonts w:ascii="Calibri" w:eastAsia="Times New Roman" w:hAnsi="Calibri" w:cs="Calibri"/>
                <w:color w:val="000000"/>
              </w:rPr>
            </w:pPr>
            <w:r w:rsidRPr="00F342F3">
              <w:rPr>
                <w:rFonts w:ascii="Calibri" w:eastAsia="Times New Roman" w:hAnsi="Calibri" w:cs="Calibri"/>
                <w:color w:val="000000"/>
              </w:rPr>
              <w:t>5</w:t>
            </w:r>
          </w:p>
        </w:tc>
        <w:tc>
          <w:tcPr>
            <w:tcW w:w="1387"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Expert</w:t>
            </w:r>
          </w:p>
        </w:tc>
        <w:tc>
          <w:tcPr>
            <w:tcW w:w="1040" w:type="dxa"/>
            <w:noWrap/>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Technical</w:t>
            </w:r>
          </w:p>
        </w:tc>
        <w:tc>
          <w:tcPr>
            <w:tcW w:w="5860" w:type="dxa"/>
            <w:hideMark/>
          </w:tcPr>
          <w:p w:rsidR="00F342F3" w:rsidRPr="00F342F3" w:rsidRDefault="00F342F3" w:rsidP="00F342F3">
            <w:pPr>
              <w:rPr>
                <w:rFonts w:ascii="Calibri" w:eastAsia="Times New Roman" w:hAnsi="Calibri" w:cs="Calibri"/>
                <w:color w:val="000000"/>
              </w:rPr>
            </w:pPr>
            <w:r w:rsidRPr="00F342F3">
              <w:rPr>
                <w:rFonts w:ascii="Calibri" w:eastAsia="Times New Roman" w:hAnsi="Calibri" w:cs="Calibri"/>
                <w:color w:val="000000"/>
              </w:rPr>
              <w:t>• Applies the competency in exceptionally difficult situations</w:t>
            </w:r>
            <w:r w:rsidRPr="00F342F3">
              <w:rPr>
                <w:rFonts w:ascii="Calibri" w:eastAsia="Times New Roman" w:hAnsi="Calibri" w:cs="Calibri"/>
                <w:color w:val="000000"/>
              </w:rPr>
              <w:br/>
              <w:t>• Serves as a key resource and advises others</w:t>
            </w:r>
            <w:r w:rsidRPr="00F342F3">
              <w:rPr>
                <w:rFonts w:ascii="Calibri" w:eastAsia="Times New Roman" w:hAnsi="Calibri" w:cs="Calibri"/>
                <w:color w:val="000000"/>
              </w:rPr>
              <w:br/>
              <w:t>• Demonstrates comprehensive, expert understanding of concepts and processes</w:t>
            </w:r>
          </w:p>
        </w:tc>
      </w:tr>
    </w:tbl>
    <w:p w:rsidR="00F342F3" w:rsidRDefault="00F342F3" w:rsidP="00230B5A"/>
    <w:p w:rsidR="00F342F3" w:rsidRDefault="00F342F3" w:rsidP="00230B5A"/>
    <w:p w:rsidR="00F342F3" w:rsidRDefault="00F342F3" w:rsidP="00230B5A">
      <w:r>
        <w:t xml:space="preserve">N/A definition: </w:t>
      </w:r>
      <w:r w:rsidR="00095AAB">
        <w:t>“</w:t>
      </w:r>
      <w:r>
        <w:t>This competency is not applicable to this individual or this position at this time.</w:t>
      </w:r>
      <w:r w:rsidR="00095AAB">
        <w:t>”</w:t>
      </w:r>
    </w:p>
    <w:p w:rsidR="00F342F3" w:rsidRDefault="00F342F3" w:rsidP="00230B5A"/>
    <w:p w:rsidR="00F342F3" w:rsidRDefault="00F342F3" w:rsidP="00230B5A">
      <w:r>
        <w:t xml:space="preserve">Note: The above tables only include General and Technical competency type definitions. Leadership competencies have different definitions and include illustrations. </w:t>
      </w:r>
      <w:r w:rsidR="00E20FAE">
        <w:t>However, t</w:t>
      </w:r>
      <w:r>
        <w:t xml:space="preserve">here are no Leadership competencies in the PMIAA competency models, so that information is not included here. </w:t>
      </w:r>
    </w:p>
    <w:p w:rsidR="00F342F3" w:rsidRDefault="00F342F3" w:rsidP="00230B5A"/>
    <w:p w:rsidR="00F342F3" w:rsidRDefault="00095AAB" w:rsidP="00230B5A">
      <w:r>
        <w:t>After a supervisor has completed their assessment, the employee has an opportunity to choose up to three career growth competencies. This is optional.</w:t>
      </w:r>
      <w:r w:rsidR="00FC0048">
        <w:t xml:space="preserve"> These can be any competencies, either from their position or from the list of competencies loaded into the </w:t>
      </w:r>
      <w:r w:rsidR="00E20FAE">
        <w:t xml:space="preserve">CEDAR </w:t>
      </w:r>
      <w:r w:rsidR="00FC0048">
        <w:t>tool.</w:t>
      </w:r>
    </w:p>
    <w:p w:rsidR="00FC0048" w:rsidRDefault="00FC0048" w:rsidP="00230B5A"/>
    <w:p w:rsidR="00FC0048" w:rsidRDefault="00FC0048" w:rsidP="00230B5A">
      <w:r>
        <w:t xml:space="preserve">Once the employee goes through the career growth competency process, they are asked to provide </w:t>
      </w:r>
      <w:r w:rsidR="00E20FAE">
        <w:t>a self-</w:t>
      </w:r>
      <w:r>
        <w:t xml:space="preserve">assessment of their current proficiency level by choosing a rating from the dropdown list next to each competency that is part of their assessment. </w:t>
      </w:r>
      <w:r w:rsidR="00E20FAE">
        <w:t>The assessment page and process</w:t>
      </w:r>
      <w:r>
        <w:t xml:space="preserve"> look </w:t>
      </w:r>
      <w:proofErr w:type="gramStart"/>
      <w:r>
        <w:t>similar to</w:t>
      </w:r>
      <w:proofErr w:type="gramEnd"/>
      <w:r>
        <w:t xml:space="preserve"> the supervisor’s page, except the</w:t>
      </w:r>
      <w:r w:rsidR="00E20FAE">
        <w:t xml:space="preserve"> employee</w:t>
      </w:r>
      <w:r>
        <w:t xml:space="preserve"> only ha</w:t>
      </w:r>
      <w:r w:rsidR="00E20FAE">
        <w:t>s</w:t>
      </w:r>
      <w:r>
        <w:t xml:space="preserve"> the</w:t>
      </w:r>
      <w:r w:rsidR="00E20FAE">
        <w:t>ir</w:t>
      </w:r>
      <w:r>
        <w:t xml:space="preserve"> own self-assessment </w:t>
      </w:r>
      <w:r w:rsidR="00E20FAE">
        <w:t xml:space="preserve">proficiency level </w:t>
      </w:r>
      <w:r>
        <w:t>rating</w:t>
      </w:r>
      <w:r w:rsidR="00E20FAE">
        <w:t xml:space="preserve"> to provide (no targeted proficiency level). </w:t>
      </w:r>
    </w:p>
    <w:p w:rsidR="00E20FAE" w:rsidRDefault="00E20FAE" w:rsidP="00230B5A"/>
    <w:p w:rsidR="00E20FAE" w:rsidRDefault="00E20FAE" w:rsidP="00230B5A">
      <w:r>
        <w:t xml:space="preserve">Once the supervisor’s and employee’s assessment information has been submitted, the CEDAR tool automatically calculates the results and provides </w:t>
      </w:r>
      <w:proofErr w:type="gramStart"/>
      <w:r>
        <w:t>all of</w:t>
      </w:r>
      <w:proofErr w:type="gramEnd"/>
      <w:r>
        <w:t xml:space="preserve"> the proficiency level ratings (targeted and employee) and </w:t>
      </w:r>
      <w:r w:rsidR="00824052">
        <w:t xml:space="preserve">the calculated </w:t>
      </w:r>
      <w:r>
        <w:t>difference. A negative difference for any given competency calculation indicates a gap in proficiency, while a positive difference shows a strength in proficiency. The results are printable for both supervisor and employee so that they can be used in discussions about targeted training and development opportuni</w:t>
      </w:r>
      <w:bookmarkStart w:id="0" w:name="_GoBack"/>
      <w:bookmarkEnd w:id="0"/>
      <w:r>
        <w:t xml:space="preserve">ties. </w:t>
      </w:r>
    </w:p>
    <w:sectPr w:rsidR="00E20FAE" w:rsidSect="00F149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00" w:rsidRDefault="008F3D00" w:rsidP="008F3D00">
      <w:r>
        <w:separator/>
      </w:r>
    </w:p>
  </w:endnote>
  <w:endnote w:type="continuationSeparator" w:id="0">
    <w:p w:rsidR="008F3D00" w:rsidRDefault="008F3D00" w:rsidP="008F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D00" w:rsidRPr="008F3D00" w:rsidRDefault="008F3D00">
    <w:pPr>
      <w:pStyle w:val="Footer"/>
      <w:rPr>
        <w:sz w:val="18"/>
        <w:szCs w:val="18"/>
      </w:rPr>
    </w:pPr>
    <w:r w:rsidRPr="008F3D00">
      <w:rPr>
        <w:sz w:val="18"/>
        <w:szCs w:val="18"/>
      </w:rPr>
      <w:t xml:space="preserve">This document is intended for internal use by FAA employees to provide information to union representatives and other FAA staff in preparation for launch of the CEDAR tool for program managers and project managers to meet the statutory requirements of the Program Management Improvement Accountability Act (PMIAA). </w:t>
    </w:r>
    <w:r w:rsidR="00FC600B">
      <w:rPr>
        <w:sz w:val="18"/>
        <w:szCs w:val="18"/>
      </w:rPr>
      <w:t>This is not intended for distribution outside of the agency</w:t>
    </w:r>
    <w:r w:rsidRPr="008F3D00">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00" w:rsidRDefault="008F3D00" w:rsidP="008F3D00">
      <w:r>
        <w:separator/>
      </w:r>
    </w:p>
  </w:footnote>
  <w:footnote w:type="continuationSeparator" w:id="0">
    <w:p w:rsidR="008F3D00" w:rsidRDefault="008F3D00" w:rsidP="008F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5A"/>
    <w:rsid w:val="00095AAB"/>
    <w:rsid w:val="00230B5A"/>
    <w:rsid w:val="004471BF"/>
    <w:rsid w:val="00645252"/>
    <w:rsid w:val="006D3D74"/>
    <w:rsid w:val="00824052"/>
    <w:rsid w:val="0083569A"/>
    <w:rsid w:val="008F3D00"/>
    <w:rsid w:val="009D4487"/>
    <w:rsid w:val="00A9204E"/>
    <w:rsid w:val="00E20FAE"/>
    <w:rsid w:val="00EE6CF0"/>
    <w:rsid w:val="00F1493D"/>
    <w:rsid w:val="00F342F3"/>
    <w:rsid w:val="00FC0048"/>
    <w:rsid w:val="00FC600B"/>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CE8"/>
  <w15:chartTrackingRefBased/>
  <w15:docId w15:val="{91C3B3F0-C635-4825-81BB-61A362B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3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5138">
      <w:bodyDiv w:val="1"/>
      <w:marLeft w:val="0"/>
      <w:marRight w:val="0"/>
      <w:marTop w:val="0"/>
      <w:marBottom w:val="0"/>
      <w:divBdr>
        <w:top w:val="none" w:sz="0" w:space="0" w:color="auto"/>
        <w:left w:val="none" w:sz="0" w:space="0" w:color="auto"/>
        <w:bottom w:val="none" w:sz="0" w:space="0" w:color="auto"/>
        <w:right w:val="none" w:sz="0" w:space="0" w:color="auto"/>
      </w:divBdr>
    </w:div>
    <w:div w:id="396437568">
      <w:bodyDiv w:val="1"/>
      <w:marLeft w:val="0"/>
      <w:marRight w:val="0"/>
      <w:marTop w:val="0"/>
      <w:marBottom w:val="0"/>
      <w:divBdr>
        <w:top w:val="none" w:sz="0" w:space="0" w:color="auto"/>
        <w:left w:val="none" w:sz="0" w:space="0" w:color="auto"/>
        <w:bottom w:val="none" w:sz="0" w:space="0" w:color="auto"/>
        <w:right w:val="none" w:sz="0" w:space="0" w:color="auto"/>
      </w:divBdr>
    </w:div>
    <w:div w:id="469900838">
      <w:bodyDiv w:val="1"/>
      <w:marLeft w:val="0"/>
      <w:marRight w:val="0"/>
      <w:marTop w:val="0"/>
      <w:marBottom w:val="0"/>
      <w:divBdr>
        <w:top w:val="none" w:sz="0" w:space="0" w:color="auto"/>
        <w:left w:val="none" w:sz="0" w:space="0" w:color="auto"/>
        <w:bottom w:val="none" w:sz="0" w:space="0" w:color="auto"/>
        <w:right w:val="none" w:sz="0" w:space="0" w:color="auto"/>
      </w:divBdr>
    </w:div>
    <w:div w:id="544216790">
      <w:bodyDiv w:val="1"/>
      <w:marLeft w:val="0"/>
      <w:marRight w:val="0"/>
      <w:marTop w:val="0"/>
      <w:marBottom w:val="0"/>
      <w:divBdr>
        <w:top w:val="none" w:sz="0" w:space="0" w:color="auto"/>
        <w:left w:val="none" w:sz="0" w:space="0" w:color="auto"/>
        <w:bottom w:val="none" w:sz="0" w:space="0" w:color="auto"/>
        <w:right w:val="none" w:sz="0" w:space="0" w:color="auto"/>
      </w:divBdr>
    </w:div>
    <w:div w:id="1256862827">
      <w:bodyDiv w:val="1"/>
      <w:marLeft w:val="0"/>
      <w:marRight w:val="0"/>
      <w:marTop w:val="0"/>
      <w:marBottom w:val="0"/>
      <w:divBdr>
        <w:top w:val="none" w:sz="0" w:space="0" w:color="auto"/>
        <w:left w:val="none" w:sz="0" w:space="0" w:color="auto"/>
        <w:bottom w:val="none" w:sz="0" w:space="0" w:color="auto"/>
        <w:right w:val="none" w:sz="0" w:space="0" w:color="auto"/>
      </w:divBdr>
    </w:div>
    <w:div w:id="1445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pm.gov/policy-data-oversight/assessment-and-selection/competencies/mosaic-studies-competenci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WDE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Cowdery, Kelly</dc:creator>
  <cp:keywords/>
  <dc:description/>
  <cp:lastModifiedBy>Cowdery, Kelly</cp:lastModifiedBy>
  <cp:revision>3</cp:revision>
  <dcterms:created xsi:type="dcterms:W3CDTF">2020-11-13T03:57:00Z</dcterms:created>
  <dcterms:modified xsi:type="dcterms:W3CDTF">2020-11-13T04:00:00Z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